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42"/>
        <w:ind w:left="0"/>
        <w:jc w:val="center"/>
      </w:pPr>
      <w:r>
        <w:rPr/>
        <w:t>SOUTH</w:t>
      </w:r>
      <w:r>
        <w:rPr>
          <w:spacing w:val="-7"/>
        </w:rPr>
        <w:t> </w:t>
      </w:r>
      <w:r>
        <w:rPr/>
        <w:t>CAROLINA</w:t>
      </w:r>
      <w:r>
        <w:rPr>
          <w:spacing w:val="-5"/>
        </w:rPr>
        <w:t> </w:t>
      </w:r>
      <w:r>
        <w:rPr/>
        <w:t>AMENDATORY</w:t>
      </w:r>
      <w:r>
        <w:rPr>
          <w:spacing w:val="-7"/>
        </w:rPr>
        <w:t> </w:t>
      </w:r>
      <w:r>
        <w:rPr>
          <w:spacing w:val="-2"/>
        </w:rPr>
        <w:t>ENDORSEMENT</w:t>
      </w:r>
    </w:p>
    <w:p>
      <w:pPr>
        <w:pStyle w:val="BodyText"/>
        <w:spacing w:before="183"/>
        <w:ind w:left="0"/>
        <w:jc w:val="left"/>
      </w:pPr>
    </w:p>
    <w:p>
      <w:pPr>
        <w:pStyle w:val="BodyText"/>
        <w:tabs>
          <w:tab w:pos="2077" w:val="left" w:leader="none"/>
          <w:tab w:pos="3853" w:val="left" w:leader="none"/>
        </w:tabs>
        <w:spacing w:line="429" w:lineRule="auto"/>
        <w:ind w:right="5252"/>
        <w:jc w:val="left"/>
      </w:pPr>
      <w:r>
        <w:rPr/>
        <w:t>This endorsement, effective</w:t>
        <w:tab/>
        <w:t>forms</w:t>
      </w:r>
      <w:r>
        <w:rPr>
          <w:spacing w:val="-13"/>
        </w:rPr>
        <w:t> </w:t>
      </w:r>
      <w:r>
        <w:rPr/>
        <w:t>a</w:t>
      </w:r>
      <w:r>
        <w:rPr>
          <w:spacing w:val="-11"/>
        </w:rPr>
        <w:t> </w:t>
      </w:r>
      <w:r>
        <w:rPr/>
        <w:t>part</w:t>
      </w:r>
      <w:r>
        <w:rPr>
          <w:spacing w:val="-13"/>
        </w:rPr>
        <w:t> </w:t>
      </w:r>
      <w:r>
        <w:rPr/>
        <w:t>of policy no.:</w:t>
        <w:tab/>
        <w:t>issued to</w:t>
      </w:r>
    </w:p>
    <w:p>
      <w:pPr>
        <w:pStyle w:val="BodyText"/>
        <w:spacing w:line="267" w:lineRule="exact"/>
        <w:jc w:val="left"/>
      </w:pPr>
      <w:r>
        <w:rPr>
          <w:spacing w:val="-5"/>
        </w:rPr>
        <w:t>by:</w:t>
      </w:r>
    </w:p>
    <w:p>
      <w:pPr>
        <w:pStyle w:val="BodyText"/>
        <w:spacing w:before="206"/>
        <w:ind w:left="0"/>
        <w:jc w:val="left"/>
      </w:pPr>
    </w:p>
    <w:p>
      <w:pPr>
        <w:pStyle w:val="BodyText"/>
        <w:spacing w:line="213" w:lineRule="auto"/>
        <w:ind w:right="355"/>
      </w:pPr>
      <w:r>
        <w:rPr/>
        <w:t>Wherever used in this endorsement: 1) "Insurer" means the insurance company which issued this policy;</w:t>
      </w:r>
      <w:r>
        <w:rPr>
          <w:spacing w:val="40"/>
        </w:rPr>
        <w:t> </w:t>
      </w:r>
      <w:r>
        <w:rPr/>
        <w:t>and 2) "Insured" means the Named Corporation, Named Entity, Named Organization, Named Sponsor, Named Insured, or Insured stated in the declarations page;</w:t>
      </w:r>
    </w:p>
    <w:p>
      <w:pPr>
        <w:pStyle w:val="BodyText"/>
        <w:spacing w:line="720" w:lineRule="atLeast" w:before="9"/>
        <w:ind w:left="359" w:right="1441"/>
        <w:jc w:val="left"/>
      </w:pPr>
      <w:r>
        <w:rPr/>
        <w:t>The</w:t>
      </w:r>
      <w:r>
        <w:rPr>
          <w:spacing w:val="-2"/>
        </w:rPr>
        <w:t> </w:t>
      </w:r>
      <w:r>
        <w:rPr/>
        <w:t>following</w:t>
      </w:r>
      <w:r>
        <w:rPr>
          <w:spacing w:val="-3"/>
        </w:rPr>
        <w:t> </w:t>
      </w:r>
      <w:r>
        <w:rPr/>
        <w:t>is</w:t>
      </w:r>
      <w:r>
        <w:rPr>
          <w:spacing w:val="-2"/>
        </w:rPr>
        <w:t> </w:t>
      </w:r>
      <w:r>
        <w:rPr/>
        <w:t>added</w:t>
      </w:r>
      <w:r>
        <w:rPr>
          <w:spacing w:val="-3"/>
        </w:rPr>
        <w:t> </w:t>
      </w:r>
      <w:r>
        <w:rPr/>
        <w:t>and</w:t>
      </w:r>
      <w:r>
        <w:rPr>
          <w:spacing w:val="-5"/>
        </w:rPr>
        <w:t> </w:t>
      </w:r>
      <w:r>
        <w:rPr/>
        <w:t>supersedes</w:t>
      </w:r>
      <w:r>
        <w:rPr>
          <w:spacing w:val="-4"/>
        </w:rPr>
        <w:t> </w:t>
      </w:r>
      <w:r>
        <w:rPr/>
        <w:t>any</w:t>
      </w:r>
      <w:r>
        <w:rPr>
          <w:spacing w:val="-2"/>
        </w:rPr>
        <w:t> </w:t>
      </w:r>
      <w:r>
        <w:rPr/>
        <w:t>provision</w:t>
      </w:r>
      <w:r>
        <w:rPr>
          <w:spacing w:val="-3"/>
        </w:rPr>
        <w:t> </w:t>
      </w:r>
      <w:r>
        <w:rPr/>
        <w:t>in</w:t>
      </w:r>
      <w:r>
        <w:rPr>
          <w:spacing w:val="-3"/>
        </w:rPr>
        <w:t> </w:t>
      </w:r>
      <w:r>
        <w:rPr/>
        <w:t>the</w:t>
      </w:r>
      <w:r>
        <w:rPr>
          <w:spacing w:val="-2"/>
        </w:rPr>
        <w:t> </w:t>
      </w:r>
      <w:r>
        <w:rPr/>
        <w:t>policy</w:t>
      </w:r>
      <w:r>
        <w:rPr>
          <w:spacing w:val="-3"/>
        </w:rPr>
        <w:t> </w:t>
      </w:r>
      <w:r>
        <w:rPr/>
        <w:t>to</w:t>
      </w:r>
      <w:r>
        <w:rPr>
          <w:spacing w:val="-3"/>
        </w:rPr>
        <w:t> </w:t>
      </w:r>
      <w:r>
        <w:rPr/>
        <w:t>the</w:t>
      </w:r>
      <w:r>
        <w:rPr>
          <w:spacing w:val="-4"/>
        </w:rPr>
        <w:t> </w:t>
      </w:r>
      <w:r>
        <w:rPr/>
        <w:t>contrary: </w:t>
      </w:r>
      <w:r>
        <w:rPr>
          <w:spacing w:val="-2"/>
        </w:rPr>
        <w:t>CANCELLATION:</w:t>
      </w:r>
    </w:p>
    <w:p>
      <w:pPr>
        <w:pStyle w:val="BodyText"/>
        <w:spacing w:line="213" w:lineRule="auto" w:before="234"/>
        <w:ind w:left="359" w:right="356"/>
      </w:pPr>
      <w:r>
        <w:rPr/>
        <w:t>This policy may be cancelled by the Insured by surrender thereof to the Insurer or any of its authorized agents or by mailing to the Insurer written notice stating when thereafter the cancellation shall be effective.</w:t>
      </w:r>
    </w:p>
    <w:p>
      <w:pPr>
        <w:pStyle w:val="BodyText"/>
        <w:spacing w:line="213" w:lineRule="auto" w:before="242"/>
        <w:ind w:left="359" w:right="354"/>
      </w:pPr>
      <w:r>
        <w:rPr/>
        <w:t>If this policy has been in effect for less than 120 days and is not a renewal</w:t>
      </w:r>
      <w:r>
        <w:rPr>
          <w:spacing w:val="-1"/>
        </w:rPr>
        <w:t> </w:t>
      </w:r>
      <w:r>
        <w:rPr/>
        <w:t>of a</w:t>
      </w:r>
      <w:r>
        <w:rPr>
          <w:spacing w:val="-1"/>
        </w:rPr>
        <w:t> </w:t>
      </w:r>
      <w:r>
        <w:rPr/>
        <w:t>previously existing policy,</w:t>
      </w:r>
      <w:r>
        <w:rPr>
          <w:spacing w:val="-1"/>
        </w:rPr>
        <w:t> </w:t>
      </w:r>
      <w:r>
        <w:rPr/>
        <w:t>this policy may be cancelled by the Insurer for any reason by delivering or mailing to the Insured at the address shown in this policy, written notice stating when, not less than thirty (30) days thereafter, such cancellation shall be effective.</w:t>
      </w:r>
      <w:r>
        <w:rPr>
          <w:spacing w:val="40"/>
        </w:rPr>
        <w:t> </w:t>
      </w:r>
      <w:r>
        <w:rPr/>
        <w:t>Where the reason for cancellation is nonpayment of premium however, not less than ten</w:t>
      </w:r>
    </w:p>
    <w:p>
      <w:pPr>
        <w:pStyle w:val="BodyText"/>
        <w:spacing w:line="249" w:lineRule="exact"/>
        <w:ind w:left="359"/>
      </w:pPr>
      <w:r>
        <w:rPr/>
        <w:t>(10)</w:t>
      </w:r>
      <w:r>
        <w:rPr>
          <w:spacing w:val="-8"/>
        </w:rPr>
        <w:t> </w:t>
      </w:r>
      <w:r>
        <w:rPr/>
        <w:t>days</w:t>
      </w:r>
      <w:r>
        <w:rPr>
          <w:spacing w:val="-5"/>
        </w:rPr>
        <w:t> </w:t>
      </w:r>
      <w:r>
        <w:rPr/>
        <w:t>written</w:t>
      </w:r>
      <w:r>
        <w:rPr>
          <w:spacing w:val="-4"/>
        </w:rPr>
        <w:t> </w:t>
      </w:r>
      <w:r>
        <w:rPr/>
        <w:t>notice</w:t>
      </w:r>
      <w:r>
        <w:rPr>
          <w:spacing w:val="-2"/>
        </w:rPr>
        <w:t> </w:t>
      </w:r>
      <w:r>
        <w:rPr/>
        <w:t>shall</w:t>
      </w:r>
      <w:r>
        <w:rPr>
          <w:spacing w:val="-3"/>
        </w:rPr>
        <w:t> </w:t>
      </w:r>
      <w:r>
        <w:rPr/>
        <w:t>be</w:t>
      </w:r>
      <w:r>
        <w:rPr>
          <w:spacing w:val="-2"/>
        </w:rPr>
        <w:t> </w:t>
      </w:r>
      <w:r>
        <w:rPr/>
        <w:t>furnished</w:t>
      </w:r>
      <w:r>
        <w:rPr>
          <w:spacing w:val="-4"/>
        </w:rPr>
        <w:t> </w:t>
      </w:r>
      <w:r>
        <w:rPr/>
        <w:t>by</w:t>
      </w:r>
      <w:r>
        <w:rPr>
          <w:spacing w:val="-4"/>
        </w:rPr>
        <w:t> </w:t>
      </w:r>
      <w:r>
        <w:rPr/>
        <w:t>the</w:t>
      </w:r>
      <w:r>
        <w:rPr>
          <w:spacing w:val="-2"/>
        </w:rPr>
        <w:t> Insurer.</w:t>
      </w:r>
    </w:p>
    <w:p>
      <w:pPr>
        <w:pStyle w:val="BodyText"/>
        <w:spacing w:line="213" w:lineRule="auto" w:before="235"/>
        <w:ind w:left="359" w:right="355"/>
      </w:pPr>
      <w:r>
        <w:rPr/>
        <w:t>If</w:t>
      </w:r>
      <w:r>
        <w:rPr>
          <w:spacing w:val="-1"/>
        </w:rPr>
        <w:t> </w:t>
      </w:r>
      <w:r>
        <w:rPr/>
        <w:t>this</w:t>
      </w:r>
      <w:r>
        <w:rPr>
          <w:spacing w:val="-1"/>
        </w:rPr>
        <w:t> </w:t>
      </w:r>
      <w:r>
        <w:rPr/>
        <w:t>policy has</w:t>
      </w:r>
      <w:r>
        <w:rPr>
          <w:spacing w:val="-1"/>
        </w:rPr>
        <w:t> </w:t>
      </w:r>
      <w:r>
        <w:rPr/>
        <w:t>been</w:t>
      </w:r>
      <w:r>
        <w:rPr>
          <w:spacing w:val="-2"/>
        </w:rPr>
        <w:t> </w:t>
      </w:r>
      <w:r>
        <w:rPr/>
        <w:t>in</w:t>
      </w:r>
      <w:r>
        <w:rPr>
          <w:spacing w:val="-4"/>
        </w:rPr>
        <w:t> </w:t>
      </w:r>
      <w:r>
        <w:rPr/>
        <w:t>effect for</w:t>
      </w:r>
      <w:r>
        <w:rPr>
          <w:spacing w:val="-3"/>
        </w:rPr>
        <w:t> </w:t>
      </w:r>
      <w:r>
        <w:rPr/>
        <w:t>120 days</w:t>
      </w:r>
      <w:r>
        <w:rPr>
          <w:spacing w:val="-3"/>
        </w:rPr>
        <w:t> </w:t>
      </w:r>
      <w:r>
        <w:rPr/>
        <w:t>or</w:t>
      </w:r>
      <w:r>
        <w:rPr>
          <w:spacing w:val="-3"/>
        </w:rPr>
        <w:t> </w:t>
      </w:r>
      <w:r>
        <w:rPr/>
        <w:t>more,</w:t>
      </w:r>
      <w:r>
        <w:rPr>
          <w:spacing w:val="-3"/>
        </w:rPr>
        <w:t> </w:t>
      </w:r>
      <w:r>
        <w:rPr/>
        <w:t>or</w:t>
      </w:r>
      <w:r>
        <w:rPr>
          <w:spacing w:val="-1"/>
        </w:rPr>
        <w:t> </w:t>
      </w:r>
      <w:r>
        <w:rPr/>
        <w:t>is</w:t>
      </w:r>
      <w:r>
        <w:rPr>
          <w:spacing w:val="-1"/>
        </w:rPr>
        <w:t> </w:t>
      </w:r>
      <w:r>
        <w:rPr/>
        <w:t>a</w:t>
      </w:r>
      <w:r>
        <w:rPr>
          <w:spacing w:val="-1"/>
        </w:rPr>
        <w:t> </w:t>
      </w:r>
      <w:r>
        <w:rPr/>
        <w:t>renewal</w:t>
      </w:r>
      <w:r>
        <w:rPr>
          <w:spacing w:val="-4"/>
        </w:rPr>
        <w:t> </w:t>
      </w:r>
      <w:r>
        <w:rPr/>
        <w:t>of</w:t>
      </w:r>
      <w:r>
        <w:rPr>
          <w:spacing w:val="-3"/>
        </w:rPr>
        <w:t> </w:t>
      </w:r>
      <w:r>
        <w:rPr/>
        <w:t>a</w:t>
      </w:r>
      <w:r>
        <w:rPr>
          <w:spacing w:val="-1"/>
        </w:rPr>
        <w:t> </w:t>
      </w:r>
      <w:r>
        <w:rPr/>
        <w:t>previously existing</w:t>
      </w:r>
      <w:r>
        <w:rPr>
          <w:spacing w:val="-2"/>
        </w:rPr>
        <w:t> </w:t>
      </w:r>
      <w:r>
        <w:rPr/>
        <w:t>policy,</w:t>
      </w:r>
      <w:r>
        <w:rPr>
          <w:spacing w:val="-3"/>
        </w:rPr>
        <w:t> </w:t>
      </w:r>
      <w:r>
        <w:rPr/>
        <w:t>this</w:t>
      </w:r>
      <w:r>
        <w:rPr>
          <w:spacing w:val="-1"/>
        </w:rPr>
        <w:t> </w:t>
      </w:r>
      <w:r>
        <w:rPr/>
        <w:t>policy may</w:t>
      </w:r>
      <w:r>
        <w:rPr>
          <w:spacing w:val="-1"/>
        </w:rPr>
        <w:t> </w:t>
      </w:r>
      <w:r>
        <w:rPr/>
        <w:t>be</w:t>
      </w:r>
      <w:r>
        <w:rPr>
          <w:spacing w:val="-1"/>
        </w:rPr>
        <w:t> </w:t>
      </w:r>
      <w:r>
        <w:rPr/>
        <w:t>cancelled by the Insurer by</w:t>
      </w:r>
      <w:r>
        <w:rPr>
          <w:spacing w:val="-1"/>
        </w:rPr>
        <w:t> </w:t>
      </w:r>
      <w:r>
        <w:rPr/>
        <w:t>delivering</w:t>
      </w:r>
      <w:r>
        <w:rPr>
          <w:spacing w:val="-3"/>
        </w:rPr>
        <w:t> </w:t>
      </w:r>
      <w:r>
        <w:rPr/>
        <w:t>or</w:t>
      </w:r>
      <w:r>
        <w:rPr>
          <w:spacing w:val="-2"/>
        </w:rPr>
        <w:t> </w:t>
      </w:r>
      <w:r>
        <w:rPr/>
        <w:t>mailing to</w:t>
      </w:r>
      <w:r>
        <w:rPr>
          <w:spacing w:val="-1"/>
        </w:rPr>
        <w:t> </w:t>
      </w:r>
      <w:r>
        <w:rPr/>
        <w:t>the</w:t>
      </w:r>
      <w:r>
        <w:rPr>
          <w:spacing w:val="-1"/>
        </w:rPr>
        <w:t> </w:t>
      </w:r>
      <w:r>
        <w:rPr/>
        <w:t>Insured</w:t>
      </w:r>
      <w:r>
        <w:rPr>
          <w:spacing w:val="-3"/>
        </w:rPr>
        <w:t> </w:t>
      </w:r>
      <w:r>
        <w:rPr/>
        <w:t>and the</w:t>
      </w:r>
      <w:r>
        <w:rPr>
          <w:spacing w:val="-1"/>
        </w:rPr>
        <w:t> </w:t>
      </w:r>
      <w:r>
        <w:rPr/>
        <w:t>agent</w:t>
      </w:r>
      <w:r>
        <w:rPr>
          <w:spacing w:val="-1"/>
        </w:rPr>
        <w:t> </w:t>
      </w:r>
      <w:r>
        <w:rPr/>
        <w:t>of record, if</w:t>
      </w:r>
      <w:r>
        <w:rPr>
          <w:spacing w:val="-2"/>
        </w:rPr>
        <w:t> </w:t>
      </w:r>
      <w:r>
        <w:rPr/>
        <w:t>any,</w:t>
      </w:r>
      <w:r>
        <w:rPr>
          <w:spacing w:val="-2"/>
        </w:rPr>
        <w:t> </w:t>
      </w:r>
      <w:r>
        <w:rPr/>
        <w:t>at</w:t>
      </w:r>
      <w:r>
        <w:rPr>
          <w:spacing w:val="-1"/>
        </w:rPr>
        <w:t> </w:t>
      </w:r>
      <w:r>
        <w:rPr/>
        <w:t>the address shown in the policy, written notice stating when, not less than thirty (30) days thereafter, such cancellation shall be effective.</w:t>
      </w:r>
      <w:r>
        <w:rPr>
          <w:spacing w:val="40"/>
        </w:rPr>
        <w:t> </w:t>
      </w:r>
      <w:r>
        <w:rPr/>
        <w:t>Where the reason for cancellation is nonpayment of premium however, not less than ten (10) days written notice shall be furnished by the Insurer.</w:t>
      </w:r>
      <w:r>
        <w:rPr>
          <w:spacing w:val="40"/>
        </w:rPr>
        <w:t> </w:t>
      </w:r>
      <w:r>
        <w:rPr/>
        <w:t>This policy may not be cancelled by the Insurer outside the 120 day period if the Insurer had notice of a change in risk prior to the expiration of the 120 day period.</w:t>
      </w:r>
    </w:p>
    <w:p>
      <w:pPr>
        <w:pStyle w:val="BodyText"/>
        <w:spacing w:line="213" w:lineRule="auto" w:before="247"/>
        <w:ind w:left="359" w:right="359"/>
      </w:pPr>
      <w:r>
        <w:rPr/>
        <w:t>This policy may be cancelled by the Insurer by delivering or mailing to the Insured at the address shown in the policy a written notice stating when such cancellation shall be effective not less than sixty (60) days.</w:t>
      </w:r>
    </w:p>
    <w:p>
      <w:pPr>
        <w:pStyle w:val="BodyText"/>
        <w:spacing w:line="213" w:lineRule="auto" w:before="242"/>
        <w:ind w:left="359" w:right="358"/>
      </w:pPr>
      <w:r>
        <w:rPr/>
        <w:t>Any notice of cancellation for policies in effect for 120 days or more will state the reason for cancellation. Cancellation under this paragraph shall be based on only one or more of the following reasons:</w:t>
      </w:r>
    </w:p>
    <w:p>
      <w:pPr>
        <w:pStyle w:val="ListParagraph"/>
        <w:numPr>
          <w:ilvl w:val="0"/>
          <w:numId w:val="1"/>
        </w:numPr>
        <w:tabs>
          <w:tab w:pos="1799" w:val="left" w:leader="none"/>
        </w:tabs>
        <w:spacing w:line="240" w:lineRule="auto" w:before="219" w:after="0"/>
        <w:ind w:left="1799" w:right="0" w:hanging="719"/>
        <w:jc w:val="left"/>
        <w:rPr>
          <w:sz w:val="22"/>
        </w:rPr>
      </w:pPr>
      <w:r>
        <w:rPr>
          <w:sz w:val="22"/>
        </w:rPr>
        <w:t>Nonpayment</w:t>
      </w:r>
      <w:r>
        <w:rPr>
          <w:spacing w:val="-4"/>
          <w:sz w:val="22"/>
        </w:rPr>
        <w:t> </w:t>
      </w:r>
      <w:r>
        <w:rPr>
          <w:sz w:val="22"/>
        </w:rPr>
        <w:t>of</w:t>
      </w:r>
      <w:r>
        <w:rPr>
          <w:spacing w:val="-2"/>
          <w:sz w:val="22"/>
        </w:rPr>
        <w:t> premium;</w:t>
      </w:r>
    </w:p>
    <w:p>
      <w:pPr>
        <w:pStyle w:val="ListParagraph"/>
        <w:numPr>
          <w:ilvl w:val="0"/>
          <w:numId w:val="1"/>
        </w:numPr>
        <w:tabs>
          <w:tab w:pos="1797" w:val="left" w:leader="none"/>
          <w:tab w:pos="1800" w:val="left" w:leader="none"/>
        </w:tabs>
        <w:spacing w:line="213" w:lineRule="auto" w:before="234" w:after="0"/>
        <w:ind w:left="1800" w:right="1076" w:hanging="721"/>
        <w:jc w:val="both"/>
        <w:rPr>
          <w:sz w:val="22"/>
        </w:rPr>
      </w:pPr>
      <w:r>
        <w:rPr>
          <w:sz w:val="22"/>
        </w:rPr>
        <w:t>Material misrepresentation of fact which, if known to the Insurer, would have caused the Insurer not to issue the policy;</w:t>
      </w:r>
    </w:p>
    <w:p>
      <w:pPr>
        <w:pStyle w:val="ListParagraph"/>
        <w:numPr>
          <w:ilvl w:val="0"/>
          <w:numId w:val="1"/>
        </w:numPr>
        <w:tabs>
          <w:tab w:pos="1797" w:val="left" w:leader="none"/>
          <w:tab w:pos="1800" w:val="left" w:leader="none"/>
        </w:tabs>
        <w:spacing w:line="213" w:lineRule="auto" w:before="242" w:after="0"/>
        <w:ind w:left="1800" w:right="1075" w:hanging="721"/>
        <w:jc w:val="both"/>
        <w:rPr>
          <w:sz w:val="22"/>
        </w:rPr>
      </w:pPr>
      <w:r>
        <w:rPr>
          <w:sz w:val="22"/>
        </w:rPr>
        <w:t>Substantial change in the risk assumed, except to the extent the Insurer had notice of the risk or should reasonably have foreseen the change or contemplated the risk in writing the policy;</w:t>
      </w:r>
    </w:p>
    <w:p>
      <w:pPr>
        <w:pStyle w:val="ListParagraph"/>
        <w:numPr>
          <w:ilvl w:val="0"/>
          <w:numId w:val="1"/>
        </w:numPr>
        <w:tabs>
          <w:tab w:pos="1800" w:val="left" w:leader="none"/>
        </w:tabs>
        <w:spacing w:line="240" w:lineRule="auto" w:before="220" w:after="0"/>
        <w:ind w:left="1800" w:right="0" w:hanging="720"/>
        <w:jc w:val="left"/>
        <w:rPr>
          <w:sz w:val="22"/>
        </w:rPr>
      </w:pPr>
      <w:r>
        <w:rPr>
          <w:sz w:val="22"/>
        </w:rPr>
        <w:t>Substantial</w:t>
      </w:r>
      <w:r>
        <w:rPr>
          <w:spacing w:val="-7"/>
          <w:sz w:val="22"/>
        </w:rPr>
        <w:t> </w:t>
      </w:r>
      <w:r>
        <w:rPr>
          <w:sz w:val="22"/>
        </w:rPr>
        <w:t>breaches</w:t>
      </w:r>
      <w:r>
        <w:rPr>
          <w:spacing w:val="-7"/>
          <w:sz w:val="22"/>
        </w:rPr>
        <w:t> </w:t>
      </w:r>
      <w:r>
        <w:rPr>
          <w:sz w:val="22"/>
        </w:rPr>
        <w:t>of</w:t>
      </w:r>
      <w:r>
        <w:rPr>
          <w:spacing w:val="-7"/>
          <w:sz w:val="22"/>
        </w:rPr>
        <w:t> </w:t>
      </w:r>
      <w:r>
        <w:rPr>
          <w:sz w:val="22"/>
        </w:rPr>
        <w:t>contractual</w:t>
      </w:r>
      <w:r>
        <w:rPr>
          <w:spacing w:val="-5"/>
          <w:sz w:val="22"/>
        </w:rPr>
        <w:t> </w:t>
      </w:r>
      <w:r>
        <w:rPr>
          <w:sz w:val="22"/>
        </w:rPr>
        <w:t>duties,</w:t>
      </w:r>
      <w:r>
        <w:rPr>
          <w:spacing w:val="-5"/>
          <w:sz w:val="22"/>
        </w:rPr>
        <w:t> </w:t>
      </w:r>
      <w:r>
        <w:rPr>
          <w:sz w:val="22"/>
        </w:rPr>
        <w:t>conditions,</w:t>
      </w:r>
      <w:r>
        <w:rPr>
          <w:spacing w:val="-5"/>
          <w:sz w:val="22"/>
        </w:rPr>
        <w:t> </w:t>
      </w:r>
      <w:r>
        <w:rPr>
          <w:sz w:val="22"/>
        </w:rPr>
        <w:t>or</w:t>
      </w:r>
      <w:r>
        <w:rPr>
          <w:spacing w:val="-6"/>
          <w:sz w:val="22"/>
        </w:rPr>
        <w:t> </w:t>
      </w:r>
      <w:r>
        <w:rPr>
          <w:spacing w:val="-2"/>
          <w:sz w:val="22"/>
        </w:rPr>
        <w:t>warranties;</w:t>
      </w:r>
    </w:p>
    <w:p>
      <w:pPr>
        <w:pStyle w:val="ListParagraph"/>
        <w:numPr>
          <w:ilvl w:val="0"/>
          <w:numId w:val="1"/>
        </w:numPr>
        <w:tabs>
          <w:tab w:pos="1797" w:val="left" w:leader="none"/>
          <w:tab w:pos="1800" w:val="left" w:leader="none"/>
        </w:tabs>
        <w:spacing w:line="213" w:lineRule="auto" w:before="235" w:after="0"/>
        <w:ind w:left="1800" w:right="1078" w:hanging="721"/>
        <w:jc w:val="both"/>
        <w:rPr>
          <w:sz w:val="22"/>
        </w:rPr>
      </w:pPr>
      <w:r>
        <w:rPr>
          <w:sz w:val="22"/>
        </w:rPr>
        <w:t>Loss</w:t>
      </w:r>
      <w:r>
        <w:rPr>
          <w:spacing w:val="-2"/>
          <w:sz w:val="22"/>
        </w:rPr>
        <w:t> </w:t>
      </w:r>
      <w:r>
        <w:rPr>
          <w:sz w:val="22"/>
        </w:rPr>
        <w:t>of</w:t>
      </w:r>
      <w:r>
        <w:rPr>
          <w:spacing w:val="-2"/>
          <w:sz w:val="22"/>
        </w:rPr>
        <w:t> </w:t>
      </w:r>
      <w:r>
        <w:rPr>
          <w:sz w:val="22"/>
        </w:rPr>
        <w:t>the Insurer's reinsurance covering all or a significant portion</w:t>
      </w:r>
      <w:r>
        <w:rPr>
          <w:spacing w:val="-3"/>
          <w:sz w:val="22"/>
        </w:rPr>
        <w:t> </w:t>
      </w:r>
      <w:r>
        <w:rPr>
          <w:sz w:val="22"/>
        </w:rPr>
        <w:t>of the particular policy insured; or</w:t>
      </w:r>
    </w:p>
    <w:p>
      <w:pPr>
        <w:pStyle w:val="ListParagraph"/>
        <w:spacing w:after="0" w:line="213" w:lineRule="auto"/>
        <w:jc w:val="both"/>
        <w:rPr>
          <w:sz w:val="22"/>
        </w:rPr>
        <w:sectPr>
          <w:footerReference w:type="default" r:id="rId5"/>
          <w:type w:val="continuous"/>
          <w:pgSz w:w="12240" w:h="15840"/>
          <w:pgMar w:header="0" w:footer="849" w:top="840" w:bottom="1040" w:left="720" w:right="1080"/>
          <w:pgNumType w:start="1"/>
        </w:sectPr>
      </w:pPr>
    </w:p>
    <w:p>
      <w:pPr>
        <w:pStyle w:val="ListParagraph"/>
        <w:numPr>
          <w:ilvl w:val="0"/>
          <w:numId w:val="1"/>
        </w:numPr>
        <w:tabs>
          <w:tab w:pos="1800" w:val="left" w:leader="none"/>
        </w:tabs>
        <w:spacing w:line="213" w:lineRule="auto" w:before="65" w:after="0"/>
        <w:ind w:left="1800" w:right="1076" w:hanging="721"/>
        <w:jc w:val="left"/>
        <w:rPr>
          <w:sz w:val="22"/>
        </w:rPr>
      </w:pPr>
      <w:r>
        <w:rPr>
          <w:sz w:val="22"/>
        </w:rPr>
        <w:t>Where continuation of the policy would imperil the Insurer's solvency or place the Insurer in violation of the insurance laws of this state.</w:t>
      </w:r>
    </w:p>
    <w:p>
      <w:pPr>
        <w:pStyle w:val="BodyText"/>
        <w:spacing w:line="213" w:lineRule="auto" w:before="242"/>
        <w:ind w:right="358"/>
      </w:pPr>
      <w:r>
        <w:rPr/>
        <w:t>Prior to cancellation for reasons numbered five (5) and six (6) above, the Insurer shall notify the Insurance Commissioner in writing at least sixty (60) days prior to the effective date of such cancellation.</w:t>
      </w:r>
    </w:p>
    <w:p>
      <w:pPr>
        <w:pStyle w:val="BodyText"/>
        <w:spacing w:line="213" w:lineRule="auto" w:before="242"/>
        <w:ind w:right="354"/>
      </w:pPr>
      <w:r>
        <w:rPr/>
        <w:t>For purposes of subsection (3) above, substantial change in the risk assumed, if based upon changes in climatic conditions, must be based on statistical data relative to South Carolina that has been approved by the director or his designee as a basis for substantial change in the risk assumed.</w:t>
      </w:r>
    </w:p>
    <w:p>
      <w:pPr>
        <w:pStyle w:val="BodyText"/>
        <w:spacing w:before="220"/>
        <w:jc w:val="left"/>
      </w:pPr>
      <w:r>
        <w:rPr>
          <w:spacing w:val="-2"/>
        </w:rPr>
        <w:t>NONRENEWAL:</w:t>
      </w:r>
    </w:p>
    <w:p>
      <w:pPr>
        <w:pStyle w:val="BodyText"/>
        <w:spacing w:line="213" w:lineRule="auto" w:before="235"/>
        <w:ind w:right="353"/>
      </w:pPr>
      <w:r>
        <w:rPr/>
        <w:t>If the Insurer shall elect to nonrenew this policy and such policy is for a period of one year or less, than the Insurer shall mail or deliver</w:t>
      </w:r>
      <w:r>
        <w:rPr>
          <w:spacing w:val="-1"/>
        </w:rPr>
        <w:t> </w:t>
      </w:r>
      <w:r>
        <w:rPr/>
        <w:t>written notice of nonrenewal to the Insured and the Insured’s agent of record, if any, at least sixty days prior to the expiration date of the policy.</w:t>
      </w:r>
    </w:p>
    <w:p>
      <w:pPr>
        <w:pStyle w:val="BodyText"/>
        <w:spacing w:line="213" w:lineRule="auto" w:before="243"/>
        <w:ind w:right="355" w:hanging="1"/>
      </w:pPr>
      <w:r>
        <w:rPr/>
        <w:t>If the Insurer shall elect to nonrenew this policy and such policy is for a period of more than one year or for an indefinite term,</w:t>
      </w:r>
      <w:r>
        <w:rPr>
          <w:spacing w:val="-2"/>
        </w:rPr>
        <w:t> </w:t>
      </w:r>
      <w:r>
        <w:rPr/>
        <w:t>than the Insurer shall</w:t>
      </w:r>
      <w:r>
        <w:rPr>
          <w:spacing w:val="-2"/>
        </w:rPr>
        <w:t> </w:t>
      </w:r>
      <w:r>
        <w:rPr/>
        <w:t>mail</w:t>
      </w:r>
      <w:r>
        <w:rPr>
          <w:spacing w:val="-2"/>
        </w:rPr>
        <w:t> </w:t>
      </w:r>
      <w:r>
        <w:rPr/>
        <w:t>or deliver written notice</w:t>
      </w:r>
      <w:r>
        <w:rPr>
          <w:spacing w:val="-1"/>
        </w:rPr>
        <w:t> </w:t>
      </w:r>
      <w:r>
        <w:rPr/>
        <w:t>of nonrenewal to the Insured and the Insured’s agent of record, if any, at least sixty days prior to the anniversary date of the policy.</w:t>
      </w:r>
    </w:p>
    <w:p>
      <w:pPr>
        <w:pStyle w:val="BodyText"/>
        <w:spacing w:line="213" w:lineRule="auto" w:before="243"/>
        <w:ind w:right="357"/>
      </w:pPr>
      <w:r>
        <w:rPr/>
        <w:t>Any notice of nonrenewal will be mailed or delivered to the Insured’s and the Insured’s agent’s at their addresses shown in the policy or, if not reflected therein, at their last known addresses.</w:t>
      </w:r>
      <w:r>
        <w:rPr>
          <w:spacing w:val="40"/>
        </w:rPr>
        <w:t> </w:t>
      </w:r>
      <w:r>
        <w:rPr/>
        <w:t>If notice is mailed, proof of mailing will be sufficient proof of notice.</w:t>
      </w:r>
    </w:p>
    <w:p>
      <w:pPr>
        <w:pStyle w:val="BodyText"/>
        <w:spacing w:before="220"/>
      </w:pPr>
      <w:r>
        <w:rPr/>
        <w:t>Any</w:t>
      </w:r>
      <w:r>
        <w:rPr>
          <w:spacing w:val="-4"/>
        </w:rPr>
        <w:t> </w:t>
      </w:r>
      <w:r>
        <w:rPr/>
        <w:t>notice</w:t>
      </w:r>
      <w:r>
        <w:rPr>
          <w:spacing w:val="-5"/>
        </w:rPr>
        <w:t> </w:t>
      </w:r>
      <w:r>
        <w:rPr/>
        <w:t>of</w:t>
      </w:r>
      <w:r>
        <w:rPr>
          <w:spacing w:val="-3"/>
        </w:rPr>
        <w:t> </w:t>
      </w:r>
      <w:r>
        <w:rPr/>
        <w:t>nonrewal</w:t>
      </w:r>
      <w:r>
        <w:rPr>
          <w:spacing w:val="-6"/>
        </w:rPr>
        <w:t> </w:t>
      </w:r>
      <w:r>
        <w:rPr/>
        <w:t>will</w:t>
      </w:r>
      <w:r>
        <w:rPr>
          <w:spacing w:val="-5"/>
        </w:rPr>
        <w:t> </w:t>
      </w:r>
      <w:r>
        <w:rPr/>
        <w:t>state</w:t>
      </w:r>
      <w:r>
        <w:rPr>
          <w:spacing w:val="-5"/>
        </w:rPr>
        <w:t> </w:t>
      </w:r>
      <w:r>
        <w:rPr/>
        <w:t>the</w:t>
      </w:r>
      <w:r>
        <w:rPr>
          <w:spacing w:val="-5"/>
        </w:rPr>
        <w:t> </w:t>
      </w:r>
      <w:r>
        <w:rPr/>
        <w:t>precise</w:t>
      </w:r>
      <w:r>
        <w:rPr>
          <w:spacing w:val="-2"/>
        </w:rPr>
        <w:t> </w:t>
      </w:r>
      <w:r>
        <w:rPr/>
        <w:t>reason</w:t>
      </w:r>
      <w:r>
        <w:rPr>
          <w:spacing w:val="-4"/>
        </w:rPr>
        <w:t> </w:t>
      </w:r>
      <w:r>
        <w:rPr/>
        <w:t>for</w:t>
      </w:r>
      <w:r>
        <w:rPr>
          <w:spacing w:val="-2"/>
        </w:rPr>
        <w:t> nonrenewal.</w:t>
      </w:r>
    </w:p>
    <w:p>
      <w:pPr>
        <w:pStyle w:val="BodyText"/>
        <w:spacing w:before="182"/>
        <w:ind w:left="0"/>
        <w:jc w:val="left"/>
      </w:pPr>
    </w:p>
    <w:p>
      <w:pPr>
        <w:pStyle w:val="BodyText"/>
        <w:spacing w:before="1"/>
        <w:jc w:val="left"/>
      </w:pPr>
      <w:r>
        <w:rPr/>
        <w:t>POLICY</w:t>
      </w:r>
      <w:r>
        <w:rPr>
          <w:spacing w:val="-4"/>
        </w:rPr>
        <w:t> </w:t>
      </w:r>
      <w:r>
        <w:rPr/>
        <w:t>RENEWAL</w:t>
      </w:r>
      <w:r>
        <w:rPr>
          <w:spacing w:val="-5"/>
        </w:rPr>
        <w:t> </w:t>
      </w:r>
      <w:r>
        <w:rPr>
          <w:spacing w:val="-2"/>
        </w:rPr>
        <w:t>NOTICE:</w:t>
      </w:r>
    </w:p>
    <w:p>
      <w:pPr>
        <w:pStyle w:val="BodyText"/>
        <w:spacing w:line="213" w:lineRule="auto" w:before="234"/>
        <w:ind w:right="356"/>
      </w:pPr>
      <w:r>
        <w:rPr/>
        <w:t>If the Insurer intends to renew a policy, the Insurer shall furnish renewal terms and a statement of the amount of premium or estimated premium due for the renewal policy period.</w:t>
      </w:r>
    </w:p>
    <w:p>
      <w:pPr>
        <w:pStyle w:val="BodyText"/>
        <w:spacing w:line="213" w:lineRule="auto" w:before="242"/>
        <w:ind w:right="355"/>
      </w:pPr>
      <w:r>
        <w:rPr/>
        <w:t>If the policy being renewed (hereinafter "original policy") is written for a term of one year or less, the renewal terms and statement of premium or estimated premium due shall be furnished to the Insured not less than thirty (30) days prior to the expiration date of the original policy.</w:t>
      </w:r>
    </w:p>
    <w:p>
      <w:pPr>
        <w:pStyle w:val="BodyText"/>
        <w:spacing w:line="213" w:lineRule="auto" w:before="243"/>
        <w:ind w:right="450"/>
      </w:pPr>
      <w:r>
        <w:rPr/>
        <w:t>If</w:t>
      </w:r>
      <w:r>
        <w:rPr>
          <w:spacing w:val="-1"/>
        </w:rPr>
        <w:t> </w:t>
      </w:r>
      <w:r>
        <w:rPr/>
        <w:t>the</w:t>
      </w:r>
      <w:r>
        <w:rPr>
          <w:spacing w:val="-3"/>
        </w:rPr>
        <w:t> </w:t>
      </w:r>
      <w:r>
        <w:rPr/>
        <w:t>original</w:t>
      </w:r>
      <w:r>
        <w:rPr>
          <w:spacing w:val="-1"/>
        </w:rPr>
        <w:t> </w:t>
      </w:r>
      <w:r>
        <w:rPr/>
        <w:t>policy is</w:t>
      </w:r>
      <w:r>
        <w:rPr>
          <w:spacing w:val="-3"/>
        </w:rPr>
        <w:t> </w:t>
      </w:r>
      <w:r>
        <w:rPr/>
        <w:t>written</w:t>
      </w:r>
      <w:r>
        <w:rPr>
          <w:spacing w:val="-2"/>
        </w:rPr>
        <w:t> </w:t>
      </w:r>
      <w:r>
        <w:rPr/>
        <w:t>for</w:t>
      </w:r>
      <w:r>
        <w:rPr>
          <w:spacing w:val="-3"/>
        </w:rPr>
        <w:t> </w:t>
      </w:r>
      <w:r>
        <w:rPr/>
        <w:t>a</w:t>
      </w:r>
      <w:r>
        <w:rPr>
          <w:spacing w:val="-1"/>
        </w:rPr>
        <w:t> </w:t>
      </w:r>
      <w:r>
        <w:rPr/>
        <w:t>term</w:t>
      </w:r>
      <w:r>
        <w:rPr>
          <w:spacing w:val="-2"/>
        </w:rPr>
        <w:t> </w:t>
      </w:r>
      <w:r>
        <w:rPr/>
        <w:t>of</w:t>
      </w:r>
      <w:r>
        <w:rPr>
          <w:spacing w:val="-3"/>
        </w:rPr>
        <w:t> </w:t>
      </w:r>
      <w:r>
        <w:rPr/>
        <w:t>more</w:t>
      </w:r>
      <w:r>
        <w:rPr>
          <w:spacing w:val="-3"/>
        </w:rPr>
        <w:t> </w:t>
      </w:r>
      <w:r>
        <w:rPr/>
        <w:t>than</w:t>
      </w:r>
      <w:r>
        <w:rPr>
          <w:spacing w:val="-4"/>
        </w:rPr>
        <w:t> </w:t>
      </w:r>
      <w:r>
        <w:rPr/>
        <w:t>one</w:t>
      </w:r>
      <w:r>
        <w:rPr>
          <w:spacing w:val="-3"/>
        </w:rPr>
        <w:t> </w:t>
      </w:r>
      <w:r>
        <w:rPr/>
        <w:t>year</w:t>
      </w:r>
      <w:r>
        <w:rPr>
          <w:spacing w:val="-3"/>
        </w:rPr>
        <w:t> </w:t>
      </w:r>
      <w:r>
        <w:rPr/>
        <w:t>or</w:t>
      </w:r>
      <w:r>
        <w:rPr>
          <w:spacing w:val="-1"/>
        </w:rPr>
        <w:t> </w:t>
      </w:r>
      <w:r>
        <w:rPr/>
        <w:t>for</w:t>
      </w:r>
      <w:r>
        <w:rPr>
          <w:spacing w:val="-3"/>
        </w:rPr>
        <w:t> </w:t>
      </w:r>
      <w:r>
        <w:rPr/>
        <w:t>an</w:t>
      </w:r>
      <w:r>
        <w:rPr>
          <w:spacing w:val="-2"/>
        </w:rPr>
        <w:t> </w:t>
      </w:r>
      <w:r>
        <w:rPr/>
        <w:t>indefinite term,</w:t>
      </w:r>
      <w:r>
        <w:rPr>
          <w:spacing w:val="-3"/>
        </w:rPr>
        <w:t> </w:t>
      </w:r>
      <w:r>
        <w:rPr/>
        <w:t>the renewal</w:t>
      </w:r>
      <w:r>
        <w:rPr>
          <w:spacing w:val="-1"/>
        </w:rPr>
        <w:t> </w:t>
      </w:r>
      <w:r>
        <w:rPr/>
        <w:t>terms and statement of premium or estimated premium due shall be furnished to the Insured not less than thirty</w:t>
      </w:r>
    </w:p>
    <w:p>
      <w:pPr>
        <w:pStyle w:val="BodyText"/>
        <w:spacing w:line="248" w:lineRule="exact"/>
        <w:jc w:val="left"/>
      </w:pPr>
      <w:r>
        <w:rPr/>
        <w:t>(30)</w:t>
      </w:r>
      <w:r>
        <w:rPr>
          <w:spacing w:val="-5"/>
        </w:rPr>
        <w:t> </w:t>
      </w:r>
      <w:r>
        <w:rPr/>
        <w:t>days</w:t>
      </w:r>
      <w:r>
        <w:rPr>
          <w:spacing w:val="-4"/>
        </w:rPr>
        <w:t> </w:t>
      </w:r>
      <w:r>
        <w:rPr/>
        <w:t>prior</w:t>
      </w:r>
      <w:r>
        <w:rPr>
          <w:spacing w:val="-4"/>
        </w:rPr>
        <w:t> </w:t>
      </w:r>
      <w:r>
        <w:rPr/>
        <w:t>to</w:t>
      </w:r>
      <w:r>
        <w:rPr>
          <w:spacing w:val="-3"/>
        </w:rPr>
        <w:t> </w:t>
      </w:r>
      <w:r>
        <w:rPr/>
        <w:t>the</w:t>
      </w:r>
      <w:r>
        <w:rPr>
          <w:spacing w:val="-4"/>
        </w:rPr>
        <w:t> </w:t>
      </w:r>
      <w:r>
        <w:rPr/>
        <w:t>anniversary</w:t>
      </w:r>
      <w:r>
        <w:rPr>
          <w:spacing w:val="-2"/>
        </w:rPr>
        <w:t> </w:t>
      </w:r>
      <w:r>
        <w:rPr/>
        <w:t>date</w:t>
      </w:r>
      <w:r>
        <w:rPr>
          <w:spacing w:val="-4"/>
        </w:rPr>
        <w:t> </w:t>
      </w:r>
      <w:r>
        <w:rPr/>
        <w:t>of</w:t>
      </w:r>
      <w:r>
        <w:rPr>
          <w:spacing w:val="-5"/>
        </w:rPr>
        <w:t> </w:t>
      </w:r>
      <w:r>
        <w:rPr/>
        <w:t>the</w:t>
      </w:r>
      <w:r>
        <w:rPr>
          <w:spacing w:val="-4"/>
        </w:rPr>
        <w:t> </w:t>
      </w:r>
      <w:r>
        <w:rPr/>
        <w:t>original</w:t>
      </w:r>
      <w:r>
        <w:rPr>
          <w:spacing w:val="-5"/>
        </w:rPr>
        <w:t> </w:t>
      </w:r>
      <w:r>
        <w:rPr>
          <w:spacing w:val="-2"/>
        </w:rPr>
        <w:t>policy.</w:t>
      </w:r>
    </w:p>
    <w:p>
      <w:pPr>
        <w:pStyle w:val="BodyText"/>
        <w:spacing w:line="213" w:lineRule="auto" w:before="235"/>
        <w:ind w:right="354"/>
      </w:pPr>
      <w:r>
        <w:rPr/>
        <w:t>The Insurer may satisfy its obligation to furnish renewal terms and statement of premium or estimated premium due by either of the following methods:</w:t>
      </w:r>
    </w:p>
    <w:p>
      <w:pPr>
        <w:pStyle w:val="ListParagraph"/>
        <w:numPr>
          <w:ilvl w:val="0"/>
          <w:numId w:val="2"/>
        </w:numPr>
        <w:tabs>
          <w:tab w:pos="1800" w:val="left" w:leader="none"/>
        </w:tabs>
        <w:spacing w:line="213" w:lineRule="auto" w:before="242" w:after="0"/>
        <w:ind w:left="1800" w:right="1075" w:hanging="721"/>
        <w:jc w:val="both"/>
        <w:rPr>
          <w:sz w:val="22"/>
        </w:rPr>
      </w:pPr>
      <w:r>
        <w:rPr>
          <w:sz w:val="22"/>
        </w:rPr>
        <w:t>mailing or delivering renewal terms and statement to the Insured at his address shown in the policy or, if not reflected therein, at his last known address, not less than thirty (30) days prior to expiration or anniversary; or</w:t>
      </w:r>
    </w:p>
    <w:p>
      <w:pPr>
        <w:pStyle w:val="ListParagraph"/>
        <w:numPr>
          <w:ilvl w:val="0"/>
          <w:numId w:val="2"/>
        </w:numPr>
        <w:tabs>
          <w:tab w:pos="1800" w:val="left" w:leader="none"/>
        </w:tabs>
        <w:spacing w:line="213" w:lineRule="auto" w:before="243" w:after="0"/>
        <w:ind w:left="1800" w:right="1073" w:hanging="721"/>
        <w:jc w:val="both"/>
        <w:rPr>
          <w:sz w:val="22"/>
        </w:rPr>
      </w:pPr>
      <w:r>
        <w:rPr>
          <w:sz w:val="22"/>
        </w:rPr>
        <w:t>mailing</w:t>
      </w:r>
      <w:r>
        <w:rPr>
          <w:spacing w:val="-3"/>
          <w:sz w:val="22"/>
        </w:rPr>
        <w:t> </w:t>
      </w:r>
      <w:r>
        <w:rPr>
          <w:sz w:val="22"/>
        </w:rPr>
        <w:t>or</w:t>
      </w:r>
      <w:r>
        <w:rPr>
          <w:spacing w:val="-2"/>
          <w:sz w:val="22"/>
        </w:rPr>
        <w:t> </w:t>
      </w:r>
      <w:r>
        <w:rPr>
          <w:sz w:val="22"/>
        </w:rPr>
        <w:t>delivering</w:t>
      </w:r>
      <w:r>
        <w:rPr>
          <w:spacing w:val="-3"/>
          <w:sz w:val="22"/>
        </w:rPr>
        <w:t> </w:t>
      </w:r>
      <w:r>
        <w:rPr>
          <w:sz w:val="22"/>
        </w:rPr>
        <w:t>renewal</w:t>
      </w:r>
      <w:r>
        <w:rPr>
          <w:spacing w:val="-2"/>
          <w:sz w:val="22"/>
        </w:rPr>
        <w:t> </w:t>
      </w:r>
      <w:r>
        <w:rPr>
          <w:sz w:val="22"/>
        </w:rPr>
        <w:t>terms</w:t>
      </w:r>
      <w:r>
        <w:rPr>
          <w:spacing w:val="-2"/>
          <w:sz w:val="22"/>
        </w:rPr>
        <w:t> </w:t>
      </w:r>
      <w:r>
        <w:rPr>
          <w:sz w:val="22"/>
        </w:rPr>
        <w:t>and</w:t>
      </w:r>
      <w:r>
        <w:rPr>
          <w:spacing w:val="-3"/>
          <w:sz w:val="22"/>
        </w:rPr>
        <w:t> </w:t>
      </w:r>
      <w:r>
        <w:rPr>
          <w:sz w:val="22"/>
        </w:rPr>
        <w:t>statement</w:t>
      </w:r>
      <w:r>
        <w:rPr>
          <w:spacing w:val="-1"/>
          <w:sz w:val="22"/>
        </w:rPr>
        <w:t> </w:t>
      </w:r>
      <w:r>
        <w:rPr>
          <w:sz w:val="22"/>
        </w:rPr>
        <w:t>to</w:t>
      </w:r>
      <w:r>
        <w:rPr>
          <w:spacing w:val="-3"/>
          <w:sz w:val="22"/>
        </w:rPr>
        <w:t> </w:t>
      </w:r>
      <w:r>
        <w:rPr>
          <w:sz w:val="22"/>
        </w:rPr>
        <w:t>the</w:t>
      </w:r>
      <w:r>
        <w:rPr>
          <w:spacing w:val="-1"/>
          <w:sz w:val="22"/>
        </w:rPr>
        <w:t> </w:t>
      </w:r>
      <w:r>
        <w:rPr>
          <w:sz w:val="22"/>
        </w:rPr>
        <w:t>agent</w:t>
      </w:r>
      <w:r>
        <w:rPr>
          <w:spacing w:val="-1"/>
          <w:sz w:val="22"/>
        </w:rPr>
        <w:t> </w:t>
      </w:r>
      <w:r>
        <w:rPr>
          <w:sz w:val="22"/>
        </w:rPr>
        <w:t>of</w:t>
      </w:r>
      <w:r>
        <w:rPr>
          <w:spacing w:val="-2"/>
          <w:sz w:val="22"/>
        </w:rPr>
        <w:t> </w:t>
      </w:r>
      <w:r>
        <w:rPr>
          <w:sz w:val="22"/>
        </w:rPr>
        <w:t>record,</w:t>
      </w:r>
      <w:r>
        <w:rPr>
          <w:spacing w:val="-2"/>
          <w:sz w:val="22"/>
        </w:rPr>
        <w:t> </w:t>
      </w:r>
      <w:r>
        <w:rPr>
          <w:sz w:val="22"/>
        </w:rPr>
        <w:t>if</w:t>
      </w:r>
      <w:r>
        <w:rPr>
          <w:spacing w:val="-2"/>
          <w:sz w:val="22"/>
        </w:rPr>
        <w:t> </w:t>
      </w:r>
      <w:r>
        <w:rPr>
          <w:sz w:val="22"/>
        </w:rPr>
        <w:t>any,</w:t>
      </w:r>
      <w:r>
        <w:rPr>
          <w:spacing w:val="-4"/>
          <w:sz w:val="22"/>
        </w:rPr>
        <w:t> </w:t>
      </w:r>
      <w:r>
        <w:rPr>
          <w:sz w:val="22"/>
        </w:rPr>
        <w:t>not less than forty-five (45) days prior to the expiration or anniversary, along with instructions that the agent furnish the renewal terms and statement to the Insured not less than thirty (30) days prior to expiration or anniversary.</w:t>
      </w:r>
    </w:p>
    <w:p>
      <w:pPr>
        <w:pStyle w:val="ListParagraph"/>
        <w:spacing w:after="0" w:line="213" w:lineRule="auto"/>
        <w:jc w:val="both"/>
        <w:rPr>
          <w:sz w:val="22"/>
        </w:rPr>
        <w:sectPr>
          <w:pgSz w:w="12240" w:h="15840"/>
          <w:pgMar w:header="0" w:footer="849" w:top="1080" w:bottom="1040" w:left="720" w:right="1080"/>
        </w:sectPr>
      </w:pPr>
    </w:p>
    <w:p>
      <w:pPr>
        <w:pStyle w:val="BodyText"/>
        <w:spacing w:line="213" w:lineRule="auto" w:before="65"/>
        <w:ind w:left="359" w:right="356"/>
      </w:pPr>
      <w:r>
        <w:rPr/>
        <w:t>If the Insurer fails to furnish the renewal terms and statement of premium or estimated premium due, the Insured may elect to cancel the renewal policy within the thirty-day period following receipt of the renewal terms and statement of premium or estimated premium due.</w:t>
      </w:r>
      <w:r>
        <w:rPr>
          <w:spacing w:val="40"/>
        </w:rPr>
        <w:t> </w:t>
      </w:r>
      <w:r>
        <w:rPr/>
        <w:t>Earned premium for any period of coverage shall be calculated pro rata based upon the premium applicable to the original policy and not the premium applicable to the renewal policy.</w:t>
      </w:r>
    </w:p>
    <w:p>
      <w:pPr>
        <w:pStyle w:val="BodyText"/>
        <w:spacing w:before="222"/>
        <w:ind w:left="359"/>
      </w:pPr>
      <w:r>
        <w:rPr/>
        <w:t>All</w:t>
      </w:r>
      <w:r>
        <w:rPr>
          <w:spacing w:val="-3"/>
        </w:rPr>
        <w:t> </w:t>
      </w:r>
      <w:r>
        <w:rPr/>
        <w:t>other</w:t>
      </w:r>
      <w:r>
        <w:rPr>
          <w:spacing w:val="-5"/>
        </w:rPr>
        <w:t> </w:t>
      </w:r>
      <w:r>
        <w:rPr/>
        <w:t>terms,</w:t>
      </w:r>
      <w:r>
        <w:rPr>
          <w:spacing w:val="-5"/>
        </w:rPr>
        <w:t> </w:t>
      </w:r>
      <w:r>
        <w:rPr/>
        <w:t>conditions</w:t>
      </w:r>
      <w:r>
        <w:rPr>
          <w:spacing w:val="-4"/>
        </w:rPr>
        <w:t> </w:t>
      </w:r>
      <w:r>
        <w:rPr/>
        <w:t>and</w:t>
      </w:r>
      <w:r>
        <w:rPr>
          <w:spacing w:val="-4"/>
        </w:rPr>
        <w:t> </w:t>
      </w:r>
      <w:r>
        <w:rPr/>
        <w:t>exclusions</w:t>
      </w:r>
      <w:r>
        <w:rPr>
          <w:spacing w:val="-3"/>
        </w:rPr>
        <w:t> </w:t>
      </w:r>
      <w:r>
        <w:rPr/>
        <w:t>shall</w:t>
      </w:r>
      <w:r>
        <w:rPr>
          <w:spacing w:val="-3"/>
        </w:rPr>
        <w:t> </w:t>
      </w:r>
      <w:r>
        <w:rPr/>
        <w:t>remain</w:t>
      </w:r>
      <w:r>
        <w:rPr>
          <w:spacing w:val="-6"/>
        </w:rPr>
        <w:t> </w:t>
      </w:r>
      <w:r>
        <w:rPr/>
        <w:t>the</w:t>
      </w:r>
      <w:r>
        <w:rPr>
          <w:spacing w:val="-1"/>
        </w:rPr>
        <w:t> </w:t>
      </w:r>
      <w:r>
        <w:rPr>
          <w:spacing w:val="-2"/>
        </w:rPr>
        <w:t>same.</w:t>
      </w:r>
    </w:p>
    <w:p>
      <w:pPr>
        <w:pStyle w:val="BodyText"/>
        <w:ind w:left="0"/>
        <w:jc w:val="left"/>
        <w:rPr>
          <w:sz w:val="20"/>
        </w:rPr>
      </w:pPr>
    </w:p>
    <w:p>
      <w:pPr>
        <w:pStyle w:val="BodyText"/>
        <w:ind w:left="0"/>
        <w:jc w:val="left"/>
        <w:rPr>
          <w:sz w:val="20"/>
        </w:rPr>
      </w:pPr>
    </w:p>
    <w:p>
      <w:pPr>
        <w:pStyle w:val="BodyText"/>
        <w:spacing w:before="168"/>
        <w:ind w:left="0"/>
        <w:jc w:val="left"/>
        <w:rPr>
          <w:sz w:val="20"/>
        </w:rPr>
      </w:pPr>
      <w:r>
        <w:rPr>
          <w:sz w:val="20"/>
        </w:rPr>
        <mc:AlternateContent>
          <mc:Choice Requires="wps">
            <w:drawing>
              <wp:anchor distT="0" distB="0" distL="0" distR="0" allowOverlap="1" layoutInCell="1" locked="0" behindDoc="1" simplePos="0" relativeHeight="487587840">
                <wp:simplePos x="0" y="0"/>
                <wp:positionH relativeFrom="page">
                  <wp:posOffset>3429000</wp:posOffset>
                </wp:positionH>
                <wp:positionV relativeFrom="paragraph">
                  <wp:posOffset>277555</wp:posOffset>
                </wp:positionV>
                <wp:extent cx="2743200" cy="9525"/>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2743200" cy="9525"/>
                        </a:xfrm>
                        <a:custGeom>
                          <a:avLst/>
                          <a:gdLst/>
                          <a:ahLst/>
                          <a:cxnLst/>
                          <a:rect l="l" t="t" r="r" b="b"/>
                          <a:pathLst>
                            <a:path w="2743200" h="9525">
                              <a:moveTo>
                                <a:pt x="2743200" y="0"/>
                              </a:moveTo>
                              <a:lnTo>
                                <a:pt x="0" y="0"/>
                              </a:lnTo>
                              <a:lnTo>
                                <a:pt x="0" y="9144"/>
                              </a:lnTo>
                              <a:lnTo>
                                <a:pt x="2743200" y="9144"/>
                              </a:lnTo>
                              <a:lnTo>
                                <a:pt x="27432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70pt;margin-top:21.854786pt;width:216pt;height:.72pt;mso-position-horizontal-relative:page;mso-position-vertical-relative:paragraph;z-index:-15728640;mso-wrap-distance-left:0;mso-wrap-distance-right:0" id="docshape3" filled="true" fillcolor="#000000" stroked="false">
                <v:fill type="solid"/>
                <w10:wrap type="topAndBottom"/>
              </v:rect>
            </w:pict>
          </mc:Fallback>
        </mc:AlternateContent>
      </w:r>
    </w:p>
    <w:p>
      <w:pPr>
        <w:pStyle w:val="BodyText"/>
        <w:ind w:left="4931"/>
        <w:jc w:val="left"/>
      </w:pPr>
      <w:r>
        <w:rPr/>
        <w:t>AUTHORIZED</w:t>
      </w:r>
      <w:r>
        <w:rPr>
          <w:spacing w:val="-11"/>
        </w:rPr>
        <w:t> </w:t>
      </w:r>
      <w:r>
        <w:rPr>
          <w:spacing w:val="-2"/>
        </w:rPr>
        <w:t>REPRESENTATIVE</w:t>
      </w:r>
    </w:p>
    <w:sectPr>
      <w:pgSz w:w="12240" w:h="15840"/>
      <w:pgMar w:header="0" w:footer="849" w:top="840" w:bottom="1040" w:left="72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7545344">
              <wp:simplePos x="0" y="0"/>
              <wp:positionH relativeFrom="page">
                <wp:posOffset>673100</wp:posOffset>
              </wp:positionH>
              <wp:positionV relativeFrom="page">
                <wp:posOffset>9379711</wp:posOffset>
              </wp:positionV>
              <wp:extent cx="732790"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732790" cy="165735"/>
                      </a:xfrm>
                      <a:prstGeom prst="rect">
                        <a:avLst/>
                      </a:prstGeom>
                    </wps:spPr>
                    <wps:txbx>
                      <w:txbxContent>
                        <w:p>
                          <w:pPr>
                            <w:pStyle w:val="BodyText"/>
                            <w:spacing w:line="245" w:lineRule="exact"/>
                            <w:ind w:left="20"/>
                            <w:jc w:val="left"/>
                          </w:pPr>
                          <w:r>
                            <w:rPr>
                              <w:spacing w:val="-2"/>
                            </w:rPr>
                            <w:t>52167(6/21)</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3pt;margin-top:738.559998pt;width:57.7pt;height:13.05pt;mso-position-horizontal-relative:page;mso-position-vertical-relative:page;z-index:-15771136" type="#_x0000_t202" id="docshape1" filled="false" stroked="false">
              <v:textbox inset="0,0,0,0">
                <w:txbxContent>
                  <w:p>
                    <w:pPr>
                      <w:pStyle w:val="BodyText"/>
                      <w:spacing w:line="245" w:lineRule="exact"/>
                      <w:ind w:left="20"/>
                      <w:jc w:val="left"/>
                    </w:pPr>
                    <w:r>
                      <w:rPr>
                        <w:spacing w:val="-2"/>
                      </w:rPr>
                      <w:t>52167(6/21)</w:t>
                    </w:r>
                  </w:p>
                </w:txbxContent>
              </v:textbox>
              <w10:wrap type="none"/>
            </v:shape>
          </w:pict>
        </mc:Fallback>
      </mc:AlternateContent>
    </w:r>
    <w:r>
      <w:rPr>
        <w:sz w:val="20"/>
      </w:rPr>
      <mc:AlternateContent>
        <mc:Choice Requires="wps">
          <w:drawing>
            <wp:anchor distT="0" distB="0" distL="0" distR="0" allowOverlap="1" layoutInCell="1" locked="0" behindDoc="1" simplePos="0" relativeHeight="487545856">
              <wp:simplePos x="0" y="0"/>
              <wp:positionH relativeFrom="page">
                <wp:posOffset>2959100</wp:posOffset>
              </wp:positionH>
              <wp:positionV relativeFrom="page">
                <wp:posOffset>9379711</wp:posOffset>
              </wp:positionV>
              <wp:extent cx="652780" cy="16573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652780" cy="165735"/>
                      </a:xfrm>
                      <a:prstGeom prst="rect">
                        <a:avLst/>
                      </a:prstGeom>
                    </wps:spPr>
                    <wps:txbx>
                      <w:txbxContent>
                        <w:p>
                          <w:pPr>
                            <w:pStyle w:val="BodyText"/>
                            <w:spacing w:line="245" w:lineRule="exact"/>
                            <w:ind w:left="20"/>
                            <w:jc w:val="left"/>
                          </w:pPr>
                          <w:r>
                            <w:rPr/>
                            <w:t>Page</w:t>
                          </w:r>
                          <w:r>
                            <w:rPr>
                              <w:spacing w:val="-4"/>
                            </w:rPr>
                            <w:t> </w:t>
                          </w:r>
                          <w:r>
                            <w:rPr/>
                            <w:fldChar w:fldCharType="begin"/>
                          </w:r>
                          <w:r>
                            <w:rPr/>
                            <w:instrText> PAGE </w:instrText>
                          </w:r>
                          <w:r>
                            <w:rPr/>
                            <w:fldChar w:fldCharType="separate"/>
                          </w:r>
                          <w:r>
                            <w:rPr/>
                            <w:t>1</w:t>
                          </w:r>
                          <w:r>
                            <w:rPr/>
                            <w:fldChar w:fldCharType="end"/>
                          </w:r>
                          <w:r>
                            <w:rPr>
                              <w:spacing w:val="-1"/>
                            </w:rPr>
                            <w:t> </w:t>
                          </w:r>
                          <w:r>
                            <w:rPr/>
                            <w:t>of</w:t>
                          </w:r>
                          <w:r>
                            <w:rPr>
                              <w:spacing w:val="-3"/>
                            </w:rPr>
                            <w:t> </w:t>
                          </w:r>
                          <w:r>
                            <w:rPr>
                              <w:spacing w:val="-10"/>
                            </w:rPr>
                            <w:fldChar w:fldCharType="begin"/>
                          </w:r>
                          <w:r>
                            <w:rPr>
                              <w:spacing w:val="-10"/>
                            </w:rPr>
                            <w:instrText> NUMPAGES </w:instrText>
                          </w:r>
                          <w:r>
                            <w:rPr>
                              <w:spacing w:val="-10"/>
                            </w:rPr>
                            <w:fldChar w:fldCharType="separate"/>
                          </w:r>
                          <w:r>
                            <w:rPr>
                              <w:spacing w:val="-10"/>
                            </w:rPr>
                            <w:t>3</w:t>
                          </w:r>
                          <w:r>
                            <w:rPr>
                              <w:spacing w:val="-10"/>
                            </w:rPr>
                            <w:fldChar w:fldCharType="end"/>
                          </w:r>
                        </w:p>
                      </w:txbxContent>
                    </wps:txbx>
                    <wps:bodyPr wrap="square" lIns="0" tIns="0" rIns="0" bIns="0" rtlCol="0">
                      <a:noAutofit/>
                    </wps:bodyPr>
                  </wps:wsp>
                </a:graphicData>
              </a:graphic>
            </wp:anchor>
          </w:drawing>
        </mc:Choice>
        <mc:Fallback>
          <w:pict>
            <v:shape style="position:absolute;margin-left:233pt;margin-top:738.559998pt;width:51.4pt;height:13.05pt;mso-position-horizontal-relative:page;mso-position-vertical-relative:page;z-index:-15770624" type="#_x0000_t202" id="docshape2" filled="false" stroked="false">
              <v:textbox inset="0,0,0,0">
                <w:txbxContent>
                  <w:p>
                    <w:pPr>
                      <w:pStyle w:val="BodyText"/>
                      <w:spacing w:line="245" w:lineRule="exact"/>
                      <w:ind w:left="20"/>
                      <w:jc w:val="left"/>
                    </w:pPr>
                    <w:r>
                      <w:rPr/>
                      <w:t>Page</w:t>
                    </w:r>
                    <w:r>
                      <w:rPr>
                        <w:spacing w:val="-4"/>
                      </w:rPr>
                      <w:t> </w:t>
                    </w:r>
                    <w:r>
                      <w:rPr/>
                      <w:fldChar w:fldCharType="begin"/>
                    </w:r>
                    <w:r>
                      <w:rPr/>
                      <w:instrText> PAGE </w:instrText>
                    </w:r>
                    <w:r>
                      <w:rPr/>
                      <w:fldChar w:fldCharType="separate"/>
                    </w:r>
                    <w:r>
                      <w:rPr/>
                      <w:t>1</w:t>
                    </w:r>
                    <w:r>
                      <w:rPr/>
                      <w:fldChar w:fldCharType="end"/>
                    </w:r>
                    <w:r>
                      <w:rPr>
                        <w:spacing w:val="-1"/>
                      </w:rPr>
                      <w:t> </w:t>
                    </w:r>
                    <w:r>
                      <w:rPr/>
                      <w:t>of</w:t>
                    </w:r>
                    <w:r>
                      <w:rPr>
                        <w:spacing w:val="-3"/>
                      </w:rPr>
                      <w:t> </w:t>
                    </w:r>
                    <w:r>
                      <w:rPr>
                        <w:spacing w:val="-10"/>
                      </w:rPr>
                      <w:fldChar w:fldCharType="begin"/>
                    </w:r>
                    <w:r>
                      <w:rPr>
                        <w:spacing w:val="-10"/>
                      </w:rPr>
                      <w:instrText> NUMPAGES </w:instrText>
                    </w:r>
                    <w:r>
                      <w:rPr>
                        <w:spacing w:val="-10"/>
                      </w:rPr>
                      <w:fldChar w:fldCharType="separate"/>
                    </w:r>
                    <w:r>
                      <w:rPr>
                        <w:spacing w:val="-10"/>
                      </w:rPr>
                      <w:t>3</w:t>
                    </w:r>
                    <w:r>
                      <w:rPr>
                        <w:spacing w:val="-1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0"/>
      <w:numFmt w:val="bullet"/>
      <w:lvlText w:val="-"/>
      <w:lvlJc w:val="left"/>
      <w:pPr>
        <w:ind w:left="1800" w:hanging="721"/>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2664" w:hanging="721"/>
      </w:pPr>
      <w:rPr>
        <w:rFonts w:hint="default"/>
        <w:lang w:val="en-US" w:eastAsia="en-US" w:bidi="ar-SA"/>
      </w:rPr>
    </w:lvl>
    <w:lvl w:ilvl="2">
      <w:start w:val="0"/>
      <w:numFmt w:val="bullet"/>
      <w:lvlText w:val="•"/>
      <w:lvlJc w:val="left"/>
      <w:pPr>
        <w:ind w:left="3528" w:hanging="721"/>
      </w:pPr>
      <w:rPr>
        <w:rFonts w:hint="default"/>
        <w:lang w:val="en-US" w:eastAsia="en-US" w:bidi="ar-SA"/>
      </w:rPr>
    </w:lvl>
    <w:lvl w:ilvl="3">
      <w:start w:val="0"/>
      <w:numFmt w:val="bullet"/>
      <w:lvlText w:val="•"/>
      <w:lvlJc w:val="left"/>
      <w:pPr>
        <w:ind w:left="4392" w:hanging="721"/>
      </w:pPr>
      <w:rPr>
        <w:rFonts w:hint="default"/>
        <w:lang w:val="en-US" w:eastAsia="en-US" w:bidi="ar-SA"/>
      </w:rPr>
    </w:lvl>
    <w:lvl w:ilvl="4">
      <w:start w:val="0"/>
      <w:numFmt w:val="bullet"/>
      <w:lvlText w:val="•"/>
      <w:lvlJc w:val="left"/>
      <w:pPr>
        <w:ind w:left="5256" w:hanging="721"/>
      </w:pPr>
      <w:rPr>
        <w:rFonts w:hint="default"/>
        <w:lang w:val="en-US" w:eastAsia="en-US" w:bidi="ar-SA"/>
      </w:rPr>
    </w:lvl>
    <w:lvl w:ilvl="5">
      <w:start w:val="0"/>
      <w:numFmt w:val="bullet"/>
      <w:lvlText w:val="•"/>
      <w:lvlJc w:val="left"/>
      <w:pPr>
        <w:ind w:left="6120" w:hanging="721"/>
      </w:pPr>
      <w:rPr>
        <w:rFonts w:hint="default"/>
        <w:lang w:val="en-US" w:eastAsia="en-US" w:bidi="ar-SA"/>
      </w:rPr>
    </w:lvl>
    <w:lvl w:ilvl="6">
      <w:start w:val="0"/>
      <w:numFmt w:val="bullet"/>
      <w:lvlText w:val="•"/>
      <w:lvlJc w:val="left"/>
      <w:pPr>
        <w:ind w:left="6984" w:hanging="721"/>
      </w:pPr>
      <w:rPr>
        <w:rFonts w:hint="default"/>
        <w:lang w:val="en-US" w:eastAsia="en-US" w:bidi="ar-SA"/>
      </w:rPr>
    </w:lvl>
    <w:lvl w:ilvl="7">
      <w:start w:val="0"/>
      <w:numFmt w:val="bullet"/>
      <w:lvlText w:val="•"/>
      <w:lvlJc w:val="left"/>
      <w:pPr>
        <w:ind w:left="7848" w:hanging="721"/>
      </w:pPr>
      <w:rPr>
        <w:rFonts w:hint="default"/>
        <w:lang w:val="en-US" w:eastAsia="en-US" w:bidi="ar-SA"/>
      </w:rPr>
    </w:lvl>
    <w:lvl w:ilvl="8">
      <w:start w:val="0"/>
      <w:numFmt w:val="bullet"/>
      <w:lvlText w:val="•"/>
      <w:lvlJc w:val="left"/>
      <w:pPr>
        <w:ind w:left="8712" w:hanging="721"/>
      </w:pPr>
      <w:rPr>
        <w:rFonts w:hint="default"/>
        <w:lang w:val="en-US" w:eastAsia="en-US" w:bidi="ar-SA"/>
      </w:rPr>
    </w:lvl>
  </w:abstractNum>
  <w:abstractNum w:abstractNumId="0">
    <w:multiLevelType w:val="hybridMultilevel"/>
    <w:lvl w:ilvl="0">
      <w:start w:val="1"/>
      <w:numFmt w:val="decimal"/>
      <w:lvlText w:val="(%1)"/>
      <w:lvlJc w:val="left"/>
      <w:pPr>
        <w:ind w:left="1800" w:hanging="721"/>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2664" w:hanging="721"/>
      </w:pPr>
      <w:rPr>
        <w:rFonts w:hint="default"/>
        <w:lang w:val="en-US" w:eastAsia="en-US" w:bidi="ar-SA"/>
      </w:rPr>
    </w:lvl>
    <w:lvl w:ilvl="2">
      <w:start w:val="0"/>
      <w:numFmt w:val="bullet"/>
      <w:lvlText w:val="•"/>
      <w:lvlJc w:val="left"/>
      <w:pPr>
        <w:ind w:left="3528" w:hanging="721"/>
      </w:pPr>
      <w:rPr>
        <w:rFonts w:hint="default"/>
        <w:lang w:val="en-US" w:eastAsia="en-US" w:bidi="ar-SA"/>
      </w:rPr>
    </w:lvl>
    <w:lvl w:ilvl="3">
      <w:start w:val="0"/>
      <w:numFmt w:val="bullet"/>
      <w:lvlText w:val="•"/>
      <w:lvlJc w:val="left"/>
      <w:pPr>
        <w:ind w:left="4392" w:hanging="721"/>
      </w:pPr>
      <w:rPr>
        <w:rFonts w:hint="default"/>
        <w:lang w:val="en-US" w:eastAsia="en-US" w:bidi="ar-SA"/>
      </w:rPr>
    </w:lvl>
    <w:lvl w:ilvl="4">
      <w:start w:val="0"/>
      <w:numFmt w:val="bullet"/>
      <w:lvlText w:val="•"/>
      <w:lvlJc w:val="left"/>
      <w:pPr>
        <w:ind w:left="5256" w:hanging="721"/>
      </w:pPr>
      <w:rPr>
        <w:rFonts w:hint="default"/>
        <w:lang w:val="en-US" w:eastAsia="en-US" w:bidi="ar-SA"/>
      </w:rPr>
    </w:lvl>
    <w:lvl w:ilvl="5">
      <w:start w:val="0"/>
      <w:numFmt w:val="bullet"/>
      <w:lvlText w:val="•"/>
      <w:lvlJc w:val="left"/>
      <w:pPr>
        <w:ind w:left="6120" w:hanging="721"/>
      </w:pPr>
      <w:rPr>
        <w:rFonts w:hint="default"/>
        <w:lang w:val="en-US" w:eastAsia="en-US" w:bidi="ar-SA"/>
      </w:rPr>
    </w:lvl>
    <w:lvl w:ilvl="6">
      <w:start w:val="0"/>
      <w:numFmt w:val="bullet"/>
      <w:lvlText w:val="•"/>
      <w:lvlJc w:val="left"/>
      <w:pPr>
        <w:ind w:left="6984" w:hanging="721"/>
      </w:pPr>
      <w:rPr>
        <w:rFonts w:hint="default"/>
        <w:lang w:val="en-US" w:eastAsia="en-US" w:bidi="ar-SA"/>
      </w:rPr>
    </w:lvl>
    <w:lvl w:ilvl="7">
      <w:start w:val="0"/>
      <w:numFmt w:val="bullet"/>
      <w:lvlText w:val="•"/>
      <w:lvlJc w:val="left"/>
      <w:pPr>
        <w:ind w:left="7848" w:hanging="721"/>
      </w:pPr>
      <w:rPr>
        <w:rFonts w:hint="default"/>
        <w:lang w:val="en-US" w:eastAsia="en-US" w:bidi="ar-SA"/>
      </w:rPr>
    </w:lvl>
    <w:lvl w:ilvl="8">
      <w:start w:val="0"/>
      <w:numFmt w:val="bullet"/>
      <w:lvlText w:val="•"/>
      <w:lvlJc w:val="left"/>
      <w:pPr>
        <w:ind w:left="8712" w:hanging="72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ind w:left="360"/>
      <w:jc w:val="both"/>
    </w:pPr>
    <w:rPr>
      <w:rFonts w:ascii="Calibri" w:hAnsi="Calibri" w:eastAsia="Calibri" w:cs="Calibri"/>
      <w:sz w:val="22"/>
      <w:szCs w:val="22"/>
      <w:lang w:val="en-US" w:eastAsia="en-US" w:bidi="ar-SA"/>
    </w:rPr>
  </w:style>
  <w:style w:styleId="ListParagraph" w:type="paragraph">
    <w:name w:val="List Paragraph"/>
    <w:basedOn w:val="Normal"/>
    <w:uiPriority w:val="1"/>
    <w:qFormat/>
    <w:pPr>
      <w:spacing w:before="65"/>
      <w:ind w:left="1800" w:hanging="721"/>
      <w:jc w:val="both"/>
    </w:pPr>
    <w:rPr>
      <w:rFonts w:ascii="Calibri" w:hAnsi="Calibri" w:eastAsia="Calibri" w:cs="Calibri"/>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AIG</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dc:creator>
  <dc:title>SOUTH CAROLINA AMENDATORY ENDORSEMENT</dc:title>
  <dcterms:created xsi:type="dcterms:W3CDTF">2025-12-22T16:37:54Z</dcterms:created>
  <dcterms:modified xsi:type="dcterms:W3CDTF">2025-12-22T16:37:54Z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2021-06-30T00:00:00Z</vt:filetime>
  </property>
  <property fmtid="{D5CDD505-2E9C-101B-9397-08002B2CF9AE}" pid="3" name="Creator">
    <vt:lpwstr>Acrobat PDFMaker 17 for Word</vt:lpwstr>
  </property>
  <property fmtid="{D5CDD505-2E9C-101B-9397-08002B2CF9AE}" pid="4" name="LastSaved">
    <vt:filetime>2025-12-22T00:00:00Z</vt:filetime>
  </property>
  <property fmtid="{D5CDD505-2E9C-101B-9397-08002B2CF9AE}" pid="5" name="Producer">
    <vt:lpwstr>Adobe PDF Library 17.11.238</vt:lpwstr>
  </property>
  <property fmtid="{D5CDD505-2E9C-101B-9397-08002B2CF9AE}" pid="6" name="SourceModified">
    <vt:lpwstr>D:20210623185500</vt:lpwstr>
  </property>
</Properties>
</file>